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ED0" w:rsidRPr="009D24EF" w:rsidRDefault="002F4ED0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Утверждена </w:t>
      </w:r>
    </w:p>
    <w:p w:rsidR="002F4ED0" w:rsidRPr="009D24EF" w:rsidRDefault="002F4ED0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2F4ED0" w:rsidRPr="009D24EF" w:rsidRDefault="002F4ED0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2F4ED0" w:rsidRPr="009D24EF" w:rsidRDefault="002F4ED0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от  «</w:t>
      </w:r>
      <w:r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ru-RU"/>
        </w:rPr>
        <w:t>12.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2020 г.  №</w:t>
      </w:r>
      <w:r>
        <w:rPr>
          <w:rFonts w:ascii="Times New Roman" w:hAnsi="Times New Roman" w:cs="Times New Roman"/>
          <w:sz w:val="24"/>
          <w:szCs w:val="24"/>
          <w:lang w:eastAsia="ru-RU"/>
        </w:rPr>
        <w:t>489</w:t>
      </w:r>
    </w:p>
    <w:p w:rsidR="002F4ED0" w:rsidRPr="009D24EF" w:rsidRDefault="002F4ED0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F4ED0" w:rsidRPr="009D24EF" w:rsidRDefault="002F4ED0" w:rsidP="009F2DAF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F4ED0" w:rsidRPr="009D24EF" w:rsidRDefault="002F4ED0" w:rsidP="009F2DAF">
      <w:pPr>
        <w:keepNext/>
        <w:spacing w:after="0" w:line="240" w:lineRule="auto"/>
        <w:jc w:val="center"/>
        <w:outlineLvl w:val="5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МУНИЦИПАЛЬНАЯ ПРОГРАММА</w:t>
      </w:r>
    </w:p>
    <w:p w:rsidR="002F4ED0" w:rsidRPr="009D24EF" w:rsidRDefault="002F4ED0" w:rsidP="00822860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«Управление муниципальными финансами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района» </w:t>
      </w:r>
    </w:p>
    <w:p w:rsidR="002F4ED0" w:rsidRPr="009D24EF" w:rsidRDefault="002F4ED0" w:rsidP="009F2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4ED0" w:rsidRPr="009D24EF" w:rsidRDefault="002F4ED0" w:rsidP="009A3CDB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ПАСПОРТ</w:t>
      </w:r>
    </w:p>
    <w:p w:rsidR="002F4ED0" w:rsidRPr="009D24EF" w:rsidRDefault="002F4ED0" w:rsidP="009A3CD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муниципальной программы «Управление муниципальными финансами Унечского района» Унечского муниципального района Брянской области</w:t>
      </w:r>
    </w:p>
    <w:p w:rsidR="002F4ED0" w:rsidRPr="009D24EF" w:rsidRDefault="002F4ED0" w:rsidP="009F2DAF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6278"/>
      </w:tblGrid>
      <w:tr w:rsidR="002F4ED0" w:rsidRPr="009D24EF">
        <w:tc>
          <w:tcPr>
            <w:tcW w:w="1988" w:type="pct"/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12" w:type="pct"/>
          </w:tcPr>
          <w:p w:rsidR="002F4ED0" w:rsidRPr="009D24EF" w:rsidRDefault="002F4ED0" w:rsidP="001C3E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муниципальными финансами Унечского района» </w:t>
            </w:r>
          </w:p>
        </w:tc>
      </w:tr>
      <w:tr w:rsidR="002F4ED0" w:rsidRPr="009D24EF">
        <w:tc>
          <w:tcPr>
            <w:tcW w:w="1988" w:type="pct"/>
          </w:tcPr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</w:tcPr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2F4ED0" w:rsidRPr="009D24EF">
        <w:tc>
          <w:tcPr>
            <w:tcW w:w="1988" w:type="pct"/>
          </w:tcPr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</w:t>
            </w:r>
          </w:p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</w:tcPr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F4ED0" w:rsidRPr="009D24EF">
        <w:tc>
          <w:tcPr>
            <w:tcW w:w="1988" w:type="pct"/>
          </w:tcPr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</w:tcPr>
          <w:p w:rsidR="002F4ED0" w:rsidRPr="009D24EF" w:rsidRDefault="002F4ED0" w:rsidP="00D7244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«Межбюджетные отношения с муниципальными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образованиями» </w:t>
            </w:r>
          </w:p>
        </w:tc>
      </w:tr>
      <w:tr w:rsidR="002F4ED0" w:rsidRPr="009D24EF">
        <w:tc>
          <w:tcPr>
            <w:tcW w:w="1988" w:type="pct"/>
          </w:tcPr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012" w:type="pct"/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 Унечского района</w:t>
            </w:r>
          </w:p>
        </w:tc>
      </w:tr>
      <w:tr w:rsidR="002F4ED0" w:rsidRPr="009D24EF">
        <w:tc>
          <w:tcPr>
            <w:tcW w:w="1988" w:type="pct"/>
          </w:tcPr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012" w:type="pct"/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28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28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2F4ED0" w:rsidRPr="009D24EF">
        <w:tc>
          <w:tcPr>
            <w:tcW w:w="1988" w:type="pct"/>
          </w:tcPr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</w:tcPr>
          <w:p w:rsidR="002F4ED0" w:rsidRPr="009D24EF" w:rsidRDefault="002F4ED0" w:rsidP="009327DC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– 2023 годы</w:t>
            </w:r>
          </w:p>
        </w:tc>
      </w:tr>
      <w:tr w:rsidR="002F4ED0" w:rsidRPr="009D24EF">
        <w:tc>
          <w:tcPr>
            <w:tcW w:w="1988" w:type="pct"/>
          </w:tcPr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</w:tcPr>
          <w:p w:rsidR="002F4ED0" w:rsidRPr="009D24EF" w:rsidRDefault="002F4ED0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средств, предусмотренных на реализацию программы –27 590790рублей, в том числе:</w:t>
            </w:r>
          </w:p>
          <w:p w:rsidR="002F4ED0" w:rsidRPr="009D24EF" w:rsidRDefault="002F4ED0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 –9 596 930рублей;</w:t>
            </w:r>
          </w:p>
          <w:p w:rsidR="002F4ED0" w:rsidRPr="009D24EF" w:rsidRDefault="002F4ED0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2022 год –8 996 930рублей; </w:t>
            </w:r>
          </w:p>
          <w:p w:rsidR="002F4ED0" w:rsidRPr="009D24EF" w:rsidRDefault="002F4ED0" w:rsidP="008E7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 – 8 996 930рублей.</w:t>
            </w:r>
          </w:p>
        </w:tc>
      </w:tr>
      <w:tr w:rsidR="002F4ED0" w:rsidRPr="009D24EF">
        <w:tc>
          <w:tcPr>
            <w:tcW w:w="1988" w:type="pct"/>
          </w:tcPr>
          <w:p w:rsidR="002F4ED0" w:rsidRPr="009D24EF" w:rsidRDefault="002F4ED0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3012" w:type="pct"/>
          </w:tcPr>
          <w:p w:rsidR="002F4ED0" w:rsidRPr="009D24EF" w:rsidRDefault="002F4ED0" w:rsidP="006A3C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Показатели результативности и эффективности реализации муниципальной программы, а также конечные результаты реализации муниципальной программы приведены в приложении №1 к муниципальной программе. </w:t>
            </w:r>
          </w:p>
        </w:tc>
      </w:tr>
    </w:tbl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1. Характеристика текущего состояния системы управления муниципальными финансами Унечского района</w:t>
      </w: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 xml:space="preserve">С целью обеспечения финансовой устойчивости бюджетной системы Унечского района осуществлялись мероприятия по повышению собираемости доходов от налогов и сборов и неналоговых доходов, развитию налоговой базы, ограничению роста дефицита бюджета района, поддержанию объема муниципального внутреннего долга Унечского района в соответствии с действующим бюджетным законодательством. 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 xml:space="preserve">Осуществлен переход на формирование «программного» бюджета с распределением ассигнований бюджета района между муниципальными программами. 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Сформирована нормативная база и обеспечено практическое внедрение новых форм оказания и финансового обеспечения оказания муниципальных услуг.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 xml:space="preserve">С целью обеспечения открытости и прозрачности бюджетной системы, полного и доступного информирования граждан </w:t>
      </w:r>
      <w:r>
        <w:rPr>
          <w:rFonts w:ascii="Times New Roman" w:hAnsi="Times New Roman" w:cs="Times New Roman"/>
          <w:sz w:val="24"/>
          <w:szCs w:val="24"/>
        </w:rPr>
        <w:t>о местном бюджете формируется «Б</w:t>
      </w:r>
      <w:bookmarkStart w:id="0" w:name="_GoBack"/>
      <w:bookmarkEnd w:id="0"/>
      <w:r w:rsidRPr="009D24EF">
        <w:rPr>
          <w:rFonts w:ascii="Times New Roman" w:hAnsi="Times New Roman" w:cs="Times New Roman"/>
          <w:sz w:val="24"/>
          <w:szCs w:val="24"/>
        </w:rPr>
        <w:t>юджет для граждан».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Результатом проведенных преобразований стало формирование целостной системы управления муниципальными финансами Унечского района путем: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поэтапного внедрения инструментов бюджетирования, ориентированного на  результаты (докладов главных распорядителей о результатах и основных направлениях деятельности, муниципальных заданий);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создание нормативной базы развития новых форм финансового обеспечения муниципальных услуг;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введение формализованных  методик распределения межбюджетных трансфертов бюджетам поселений.</w:t>
      </w:r>
    </w:p>
    <w:p w:rsidR="002F4ED0" w:rsidRPr="009D24EF" w:rsidRDefault="002F4ED0" w:rsidP="009010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Вместе с тем не все внедренные принципы и механизмы в полной мере удалось реализовать на практике, некоторые из мероприятий реализуются с недостаточной результативностью: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1) бюджетное планирование остается слабо увязанным со стратегическим планированием.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24EF">
        <w:rPr>
          <w:rFonts w:ascii="Times New Roman" w:hAnsi="Times New Roman" w:cs="Times New Roman"/>
          <w:sz w:val="24"/>
          <w:szCs w:val="24"/>
        </w:rPr>
        <w:t>Структура и динамика расходов недостаточно учитывают цели социально-экономического развития района.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Данная ситуация является следствием сложившейся годами практики сметного финансирования муниципальных учреждений, органов местного самоуправления вне зависимости от фактически достигнутых результатов. Финансово-экономическое планирование результатов, осуществляемое в настоящее время преимущественно в рамках бюджетных целевых программ, реализуется с недостаточной степенью обоснованности и достоверности, большая часть программ по мере реализации подвергается неоднократным корректировкам в части распределения ассигнований между отдельными мероприятиями и конечных показателей.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Кроме того, сложившаяся ситуация является следствием отсутствия следующих механизмов: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мотивации главных распорядителей бюджетных средств к повышению качества финансово-экономического планирования, формированию приоритетов и оптимизации бюджетных расходов;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применения финансовых и иных санкций за некачественное бюджетное планирование, не достижение запланированных показателей бюджетных целевых программ.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2) в значительной степени формальным и недостаточно увязанным с бюджетным процессом остается применение инструментов бюджетирования, ориентированного на результат (далее – БОР).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Несмотря на определенные позитивные изменения в сфере организации планирования и исполнения бюджета, применение методов бюджетирования, ориентированного на результат, остается в значительной степени формальным и не увязанным с действенной методологией и процессом планирования бюджетных ассигнований.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Проведение оценки соответствия качества фактически предоставляемых муниципальных услуг районным стандартам качества осуществляется в большей степени без реального взаимо</w:t>
      </w:r>
      <w:r w:rsidRPr="009D24EF">
        <w:rPr>
          <w:rFonts w:ascii="Times New Roman" w:hAnsi="Times New Roman" w:cs="Times New Roman"/>
          <w:sz w:val="24"/>
          <w:szCs w:val="24"/>
        </w:rPr>
        <w:softHyphen/>
        <w:t>действия с потребителями данных услуг.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Доклады о результатах и основных направлениях деятельности главных распорядителей бюджетных средств остаются в большей степени декларативным документом, нежели действенным инструментом планирования и корректировки деятельности органов исполнительной власти.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Остается ограниченным применение оценки качества финансового менеджмента участников бюджетного процесса.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Действующая система оплаты труда муниципальных служащих и работников муниципальных учреждений, отсутствие «эффективных» контрактов не ориентирует их на повышение производительности труда, улучшение количественных показателей и качества исполнения обязанностей и оказания услуг.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3) Отчасти формальное применение новых форм оказания и финансового обеспечения муниципальных услуг.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Несмотря на интеграцию в бюджетный процесс процедур формирования муниципальных заданий, процесс их формирования является в некоторой степени формальным. Недостаточно проработанными остаются следующие основные вопросы: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обоснованность определения нормативных затрат на оказание муниципальных услуг;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обоснованность установления показателей качества оказания муниципальных услуг;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полнота и объективность контроля за исполнением муниципальных заданий (в первую очередь – за соблюдением показателей качества оказания муниципальных услуг);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4) деятельность участников сектора муниципального управления остается недостаточно прозрачной, не в полной мере обеспечены возможности общественного контроля за сферой муниципальных финансов.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Решение задачи обеспечения общественного контроля за деятельностью органов исполнительной власти может быть обеспечено путем публикации максимально возможного количества материалов на официальных сайтах органов исполнительной власти в сети Интернет.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Формирование устойчивого интереса общества к системе управления муниципальными финансами требует активного вовлечения представителей общественности в каждый этап бюджетного процесса.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5) недостаточная эффективность действующей системы межбюджетных отношений с муниципальными образованиями: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остается не в полной мере результативным выравнивание уровня бюджетной обеспеченности муниципальных образований, что приводит к необходимости выделения  средств на поддержку мер по обеспечению их сбалансированности;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имеется большое количество направлений субсидирования местных бюджетов, ограничивающих маневренность на местах в пределах имеющихся ресурсов.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6) деятельность участников сектора муниципального управления остается недостаточно прозрачной, не в полной мере обеспечены возможности общественного контроля за сферой муниципальных финансов.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Реализация муниципальной программы сопряжена с осуществлением мероприятий, направленных на развитие государственной информационной системы «Электронный бюджет», в связи с чем будет обеспечена прозрачность финансово-хозяйственной деятельности каждого участника бюджетного процесса.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2.Приоритеты и цели в сфере управления муниципальными финансами, цели и задачи муниципальной программы.</w:t>
      </w: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Стратегическая цель в сфере управления муниципальными финансами состоит в повышении уровня и качества жизни населения.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Для достижения указанной цели необходимо создание механизмов, направленных на решение следующих основных  задач: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обеспечение более тесной увязки стратегического и бюджетного планирования и целеполагания бюджетных расходов с мониторингом достижения заявленных целей социально-экономического развития;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создание условий для повышения эффективности деятельности публично-правовых образований по обеспечению оказания муниципальных услуг;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создание механизмов стимулирования участников бюджетного процесса к повышению эффективности бюджетных расходов и проведению структурных реформ;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повышение качества управления финансами в муниципальном секторе;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повышение прозрачности и подотчетности деятельности органов местного самоуправления, в том числе за счет реализации требований к публичности показателей их деятельности.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Целью муниципальной программы является обеспечение долгосрочной сбалансированности и устойчивости бюджетной системы Унечского района.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Для достижения поставленной цели в рамках реализации муниципальной программы планируется решение следующих основных задач: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обеспечение финансовой устойчивости бюджетной системы Унечского района путем проведения сбалансированной финансовой политики;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с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оздание условий для эффективного выполнения полномочий органов местного самоуправления.</w:t>
      </w: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3.Сроки реализации муниципальной программы.</w:t>
      </w: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Реализация муниципальной программы осуществляется в 2021-2023 годах.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4.Ресурсное обеспечение реализации муниципальной программы.</w:t>
      </w:r>
    </w:p>
    <w:p w:rsidR="002F4ED0" w:rsidRPr="009D24EF" w:rsidRDefault="002F4ED0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2F4ED0" w:rsidRPr="009D24EF" w:rsidRDefault="002F4ED0" w:rsidP="009010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</w:rPr>
        <w:t xml:space="preserve">Реализация муниципальной программы будет осуществляться  за счет средств бюджета района, а также средств областного бюджета. 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Общий объем средств, предусмотренных на реализацию программы – 27 590790 рублей, в том числе:</w:t>
      </w:r>
    </w:p>
    <w:p w:rsidR="002F4ED0" w:rsidRPr="009D24EF" w:rsidRDefault="002F4ED0" w:rsidP="009010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2021 год – 9 596 930 рублей;</w:t>
      </w:r>
    </w:p>
    <w:p w:rsidR="002F4ED0" w:rsidRPr="009D24EF" w:rsidRDefault="002F4ED0" w:rsidP="009010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2022 год – 8 996930рублей; 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2023 год – 8 996930рублей.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4ED0" w:rsidRPr="009D24EF" w:rsidRDefault="002F4ED0" w:rsidP="002B4A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5. Основные меры правового регулирования, направленные на  достижение целей и решение задач муниципальной программы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Большая часть нормативных правовых документов, направленных на достижение целей и решение задач муниципальной программы, была разработана в рамках реализации программы повышения эффективности бюджетных расходов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Унечского района (2011-2013 годы). Среди основных документов: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постановление администрации района от 07сентября 2011 года № 185 «Об утверждении Порядка независимой оценки соответствия качества фактически предоставляемых муниципальных услуг утвержденным требованиям к качеству»;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постановление администрации района от 22 ноября 2013 года № 191 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постановление администрации района от 30 августа 2011 года № 175 «О мерах по созданию системы учета потребности в предоставляемых муниципальных услугах»;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постановление администрации района от 31 августа 2011 года № 177 «Об утверждении Положения о подготовке докладов о результатах и основных направлениях деятельности главных распорядителей средств бюджета муниципального образования «Унечский муниципальный район»;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приказ финансового управления администрации района от 14.11.2018 года № 47 «Об утверждении Указаний об установлении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«Унечский муниципальный район».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В период реализации муниципальной программы планируется: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внесение изменений в принятые нормативные правовые акты в целях обеспечения их соответствия действующим механизмам управления муниципальными финансами Унечского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района  (по мере необходимости);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принятие нормативных правовых актов в соответствии с требованиями бюджетного законодательства.</w:t>
      </w: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6. Состав муниципальной программы</w:t>
      </w:r>
    </w:p>
    <w:p w:rsidR="002F4ED0" w:rsidRPr="009D24EF" w:rsidRDefault="002F4ED0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рамках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24EF">
        <w:rPr>
          <w:rFonts w:ascii="Times New Roman" w:hAnsi="Times New Roman" w:cs="Times New Roman"/>
          <w:sz w:val="24"/>
          <w:szCs w:val="24"/>
        </w:rPr>
        <w:t>предусмотрена реализация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24EF">
        <w:rPr>
          <w:rFonts w:ascii="Times New Roman" w:hAnsi="Times New Roman" w:cs="Times New Roman"/>
          <w:sz w:val="24"/>
          <w:szCs w:val="24"/>
        </w:rPr>
        <w:t>подпрограммы «Межбюджетные отношения с муниципальными образованиями».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7.Ожидаемые  результаты реализации муниципальной программы</w:t>
      </w:r>
    </w:p>
    <w:p w:rsidR="002F4ED0" w:rsidRPr="009D24EF" w:rsidRDefault="002F4ED0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Ожидаемые результаты реализации программы приведены в приложении 1 к муниципальной программе.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8. Основные риски реализации муниципальной программы</w:t>
      </w:r>
    </w:p>
    <w:p w:rsidR="002F4ED0" w:rsidRPr="009D24EF" w:rsidRDefault="002F4ED0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Реализация муниципальной программы связана со следующими рисками: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1.принятие решений по введению новых (увеличению действующих) расходных обязательств, не обеспеченных финансовыми ресурсами.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Процесс принятия новых (увеличения действующих) расходных обязательств бюджета района контролируется финансовым управлением администрации Унечского района и организуется исходя из принципа поддержания  сбалансированности и устойчивости бюджетной системы района. Тем не менее в период реализации муниципальной программы могут быть приняты решения по введению новых (увеличению действующих) расходных обязательств.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2. принятие новых (внесение изменений в действующие) нормативных правовых актов федерального и областного уровней, предусматривающих изменение баланса полномочий и (или) финансовых потоков между областными и местными бюджетами.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целях контроля  и минимизации данного риска планируется: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- реализация мероприятий, направленных на повышение поступлений налоговых и неналоговых доходов и повышению эффективности бюджетных расходов Унечского района.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Сведения о показателях (индикаторах) реализации муниципальной программы «Управление муниципальными финансами Унечского района» приведены в приложении 1 к муниципальной программе.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План реализации муниципальной программы «Управление муниципальными финансами Унечского района» приведен в приложении 2 к муниципальной программе.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ПАСПОРТ</w:t>
      </w: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 xml:space="preserve">подпрограммы «Межбюджетные отношения с муниципальными образованиями» муниципальной программы «Управление муниципальными финансами Унечского района» </w:t>
      </w:r>
    </w:p>
    <w:p w:rsidR="002F4ED0" w:rsidRPr="009D24EF" w:rsidRDefault="002F4ED0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3"/>
        <w:gridCol w:w="347"/>
        <w:gridCol w:w="7654"/>
      </w:tblGrid>
      <w:tr w:rsidR="002F4ED0" w:rsidRPr="009D24EF">
        <w:tc>
          <w:tcPr>
            <w:tcW w:w="2313" w:type="dxa"/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F4ED0" w:rsidRPr="009D24EF" w:rsidRDefault="002F4ED0" w:rsidP="001C3EF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«Межбюджетные отношения с муниципальными образованиями» </w:t>
            </w:r>
          </w:p>
        </w:tc>
      </w:tr>
      <w:tr w:rsidR="002F4ED0" w:rsidRPr="009D24EF">
        <w:tc>
          <w:tcPr>
            <w:tcW w:w="2313" w:type="dxa"/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2F4ED0" w:rsidRPr="009D24EF">
        <w:tc>
          <w:tcPr>
            <w:tcW w:w="2313" w:type="dxa"/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F4ED0" w:rsidRPr="009D24EF">
        <w:tc>
          <w:tcPr>
            <w:tcW w:w="2313" w:type="dxa"/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основных мероприятий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расчету и предоставлению дотаций на выравнивание бюджетной обеспеченности бюджетам поселений за счет средств областного бюджета</w:t>
            </w:r>
          </w:p>
        </w:tc>
      </w:tr>
      <w:tr w:rsidR="002F4ED0" w:rsidRPr="009D24EF">
        <w:tc>
          <w:tcPr>
            <w:tcW w:w="2313" w:type="dxa"/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</w:t>
            </w:r>
          </w:p>
        </w:tc>
      </w:tr>
      <w:tr w:rsidR="002F4ED0" w:rsidRPr="009D24EF">
        <w:tc>
          <w:tcPr>
            <w:tcW w:w="2313" w:type="dxa"/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муниципальных образований в рамках содействия органам местного самоуправления поселений в осуществлении реализации полномочий по решению вопросов местного значения</w:t>
            </w:r>
          </w:p>
        </w:tc>
      </w:tr>
      <w:tr w:rsidR="002F4ED0" w:rsidRPr="009D24EF">
        <w:tc>
          <w:tcPr>
            <w:tcW w:w="2313" w:type="dxa"/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F4ED0" w:rsidRPr="009D24EF" w:rsidRDefault="002F4ED0" w:rsidP="009327DC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2021– 2023 годы</w:t>
            </w:r>
          </w:p>
        </w:tc>
      </w:tr>
      <w:tr w:rsidR="002F4ED0" w:rsidRPr="009D24EF">
        <w:tc>
          <w:tcPr>
            <w:tcW w:w="2313" w:type="dxa"/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бюджет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ассигнований на реализацию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средств, предусмотренных на реализацию подпрограммы – 5 331000 рублей, в том числе:</w:t>
            </w:r>
          </w:p>
          <w:p w:rsidR="002F4ED0" w:rsidRPr="009D24EF" w:rsidRDefault="002F4ED0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 –2 177 000рублей;</w:t>
            </w:r>
          </w:p>
          <w:p w:rsidR="002F4ED0" w:rsidRPr="009D24EF" w:rsidRDefault="002F4ED0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 год –1 577000рублей;</w:t>
            </w:r>
          </w:p>
          <w:p w:rsidR="002F4ED0" w:rsidRPr="009D24EF" w:rsidRDefault="002F4ED0" w:rsidP="009327DC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 –1 577000 рублей.</w:t>
            </w:r>
          </w:p>
        </w:tc>
      </w:tr>
      <w:tr w:rsidR="002F4ED0" w:rsidRPr="009D24EF">
        <w:tc>
          <w:tcPr>
            <w:tcW w:w="2313" w:type="dxa"/>
          </w:tcPr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</w:t>
            </w:r>
          </w:p>
          <w:p w:rsidR="002F4ED0" w:rsidRPr="009D24EF" w:rsidRDefault="002F4ED0" w:rsidP="002B4AE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F4ED0" w:rsidRPr="009D24EF" w:rsidRDefault="002F4ED0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F4ED0" w:rsidRPr="009D24EF" w:rsidRDefault="002F4ED0" w:rsidP="002B4AE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результативности и эффективности реализации подпрограммы муниципальной программы приведены в приложении 1 к муниципальной программе</w:t>
            </w:r>
          </w:p>
        </w:tc>
      </w:tr>
    </w:tbl>
    <w:p w:rsidR="002F4ED0" w:rsidRPr="009D24EF" w:rsidRDefault="002F4ED0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Краткая характеристика подпрограммы</w:t>
      </w:r>
    </w:p>
    <w:p w:rsidR="002F4ED0" w:rsidRPr="009D24EF" w:rsidRDefault="002F4ED0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Подпрограмма «Межбюджетные отношения с муниципальными образованиями» предусматривает ряд организационных и финансово-экономических мер, направленных на единство интересов субъектов бюджетного планирования и интересов населения, что в свою очередь обеспечивает основу для социально-экономического развития муниципалитетов.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Межбюджетные отношения с органами местного самоуправления муниципальных образований области сформированы в рамках требований Бюджетного кодекса Российской Федерации, Федерального закона от 06 октября 2003 года № 131-ФЗ «Об общих принципах организации местного самоуправления в Российской Федерации», Бюджетных посланий президента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24EF">
        <w:rPr>
          <w:rFonts w:ascii="Times New Roman" w:hAnsi="Times New Roman" w:cs="Times New Roman"/>
          <w:sz w:val="24"/>
          <w:szCs w:val="24"/>
        </w:rPr>
        <w:t>Федеральному Собранию Российской Федерации, закона Брянской области от 13 августа 2007 года №126-ФЗ «О межбюджетных отношениях в Брянской области», закона Брянской области об областном бюджете на соответствующий финансовый год и на плановый период, законов Брянской области о наделении органов местного самоуправления отдельными государственными полномочиями.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основу формирования межбюджетных отношений с муниципальными образованиями положены следующие принципы: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сбалансированное и взаимоувязанное разграничение расходных обязательств и доходов между уровнями бюджетной системы;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обеспечение самостоятельности и ответственности органов местного самоуправления за полноту сбора обязательных платежей на территории муниципальных образований;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обеспечение полноты учета расходных обязательств органов местного самоуправления в соответствии с полномочиями, установленными действующим законодательством, на основе применения нормативного планирования;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применение объективной формализованной и прозрачной системы бюджетного выравнивания;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Законом Брянской области от 13 августа 2007 года №126-З «О межбюджетных отношениях в Брянской области» органы местного самоуправления муниципальных районов наделены отдельными государственными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24EF">
        <w:rPr>
          <w:rFonts w:ascii="Times New Roman" w:hAnsi="Times New Roman" w:cs="Times New Roman"/>
          <w:sz w:val="24"/>
          <w:szCs w:val="24"/>
        </w:rPr>
        <w:t>полномочиями Брянской области по расчету и предоставлению дотаций поселениям за счет средств областного бюджета.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соответствии со статьей 33 Бюджетного кодекса Российской Федерации, на основании требований статей 137 и 138 Бюджетного кодекса Российской Федерации, с целью более эффективной реализации органами местного самоуправления муниципальных образований принципа сбалансированности бюджета, Законом Брянской области от 13 августа 2007 года № 126-З «О межбюджетных отношениях в Брянской области» установлены: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методика расчета органами местного самоуправления муниципальных районов размера дотаций на выравнивание бюджетной обеспеченности бюджетам поселений и методика расчета и установления дополнительных нормативов отчислений от налога на доходы физических лиц в местные бюджеты, заменяющих дотации поселениям за счет субвенций из регионального фонда компенсаций.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Подпрограмма содержит взаимоувязанную по задачам, срокам осуществления и объемам ассигнований систему мероприятий, направленных на обеспечение устойчивости местных бюджетов путем предоставления муниципальным образованиям дотаций на выравнивание уровня бюджетной обеспеченности.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Подпрограмма ориентирована на распределение бюджетных ресурсов для выравнивания доходной части бюджетов муниципальных образований до оптимального уровня, предполагающего пропорциональное подтягивание бюджетной обеспеченности местных бюджетов.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Формализованный подход к формированию и распределению финансовой помощи из областного бюджета на выравнивание бюджетной обеспеченности муниципальных образований, установленный областным законодательством, применяется при формировании межбюджетных отношений органов государственной власти Брянской области и органов местного самоуправления начиная с 1997 года, способствует открытости и прозрачности бюджетного процесса.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Решение задачи по выравниванию бюджетной обеспеченности муниципальных образований программно-целевым методом в рамках подпрограммы «Межбюджетные отношения с муниципальными образованиями» муниципальной программы «Управление муниципальными финансами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24EF">
        <w:rPr>
          <w:rFonts w:ascii="Times New Roman" w:hAnsi="Times New Roman" w:cs="Times New Roman"/>
          <w:sz w:val="24"/>
          <w:szCs w:val="24"/>
        </w:rPr>
        <w:t>будет направлено на достижение стратегической цели – создание условий для более полного и эффективного исполнения полномочий органов местного самоуправления поселений.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Подпрограммой предусмотрена реализация следующих мероприятий, направленных на решение поставленных задач:</w:t>
      </w:r>
    </w:p>
    <w:p w:rsidR="002F4ED0" w:rsidRPr="009D24EF" w:rsidRDefault="002F4ED0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1.определение исходных данных для формирования межбюджетных отношений с муниципальными образованиями и проведение согласования с органами местного самоуправления поселений для расчетов и распределения средств областного бюджета, направляемых на выравнивание бюджетной обеспеченности муниципальных образований.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рамках данного мероприятия предусматривается: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ежегодное составление формы с показателями, необходимыми для формирования межбюджетных отношений с муниципальными образованиями, сбор и консолидация исходных данных, необходимых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24EF">
        <w:rPr>
          <w:rFonts w:ascii="Times New Roman" w:hAnsi="Times New Roman" w:cs="Times New Roman"/>
          <w:sz w:val="24"/>
          <w:szCs w:val="24"/>
        </w:rPr>
        <w:t>проведение расчетов распределения на очередной финансовый год и плановый период дотаций на выравнивание бюджетной обеспеченности муниципальных образований;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проведение согласования с органами местного самоуправления поселений исходных данных для расчетов и распределения средств областного бюджета, направляемых на выравнивание бюджетной обеспеченности муниципальных образований (при необходимости).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2. распределение средств областного бюджета, направляемых на выравнивание бюджетной обеспеченности муниципальных образований по утвержденным порядкам и методикам в соответствии с бюджетных законодательством.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рамках данного мероприятия предусматривается: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распределение дотаций на выравнивание бюджетной обеспеченности поселений в соответствии с методикой расчета органами местного самоуправления муниципальных районов размера дотаций на выравнивание бюджетной обеспеченности бюджетам поселений, предоставляемых за счет субвенции из областного бюджета и методикой расчета и установления дополнительных нормативов отчислений от налога на доходы физических лиц в местные бюджеты, заменяющих дотации поселениям за счет субвенций из областного бюджета согласно приложению 3 к закону Брянской области от 02ноября 2016 года № 89-З «О межбюджетных отношениях в Брянской области»;</w:t>
      </w:r>
    </w:p>
    <w:p w:rsidR="002F4ED0" w:rsidRPr="009D24EF" w:rsidRDefault="002F4ED0" w:rsidP="009010FE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4ED0" w:rsidRPr="009D24EF" w:rsidRDefault="002F4ED0" w:rsidP="009010FE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4ED0" w:rsidRPr="009D24EF" w:rsidRDefault="002F4ED0" w:rsidP="009010FE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2. Ожидаемые результаты реализации подпрограммы</w:t>
      </w:r>
    </w:p>
    <w:p w:rsidR="002F4ED0" w:rsidRPr="009D24EF" w:rsidRDefault="002F4ED0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Ожидаемые результаты реализации подпрограммы приведены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в приложении 1 к муниципальной программе.</w:t>
      </w:r>
    </w:p>
    <w:p w:rsidR="002F4ED0" w:rsidRPr="009D24EF" w:rsidRDefault="002F4ED0" w:rsidP="00CD776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4ED0" w:rsidRPr="009D24EF" w:rsidRDefault="002F4ED0" w:rsidP="00CD776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2F4ED0" w:rsidRPr="009D24EF" w:rsidSect="009010FE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2F4ED0" w:rsidRPr="009D24EF" w:rsidRDefault="002F4ED0" w:rsidP="00BB0262">
      <w:pPr>
        <w:autoSpaceDE w:val="0"/>
        <w:autoSpaceDN w:val="0"/>
        <w:adjustRightInd w:val="0"/>
        <w:spacing w:after="0" w:line="240" w:lineRule="auto"/>
        <w:ind w:left="11328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F4ED0" w:rsidRPr="009D24EF" w:rsidRDefault="002F4ED0" w:rsidP="00BB0262">
      <w:pPr>
        <w:autoSpaceDE w:val="0"/>
        <w:autoSpaceDN w:val="0"/>
        <w:adjustRightInd w:val="0"/>
        <w:spacing w:after="0" w:line="240" w:lineRule="auto"/>
        <w:ind w:left="11328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2F4ED0" w:rsidRPr="009D24EF" w:rsidRDefault="002F4ED0" w:rsidP="00BB0262">
      <w:pPr>
        <w:autoSpaceDE w:val="0"/>
        <w:autoSpaceDN w:val="0"/>
        <w:adjustRightInd w:val="0"/>
        <w:spacing w:after="0" w:line="240" w:lineRule="auto"/>
        <w:ind w:left="11328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«Управление муниципальными</w:t>
      </w:r>
    </w:p>
    <w:p w:rsidR="002F4ED0" w:rsidRPr="009D24EF" w:rsidRDefault="002F4ED0" w:rsidP="00BB0262">
      <w:pPr>
        <w:autoSpaceDE w:val="0"/>
        <w:autoSpaceDN w:val="0"/>
        <w:adjustRightInd w:val="0"/>
        <w:spacing w:after="0" w:line="240" w:lineRule="auto"/>
        <w:ind w:left="11328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финансами Унечского района»</w:t>
      </w:r>
    </w:p>
    <w:p w:rsidR="002F4ED0" w:rsidRPr="009D24EF" w:rsidRDefault="002F4ED0" w:rsidP="00CD776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F4ED0" w:rsidRPr="009D24EF" w:rsidRDefault="002F4ED0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Сведения о показателях (индикаторах) муниципальной программы, подпрограммы и их значениях</w:t>
      </w:r>
    </w:p>
    <w:p w:rsidR="002F4ED0" w:rsidRPr="009D24EF" w:rsidRDefault="002F4ED0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6"/>
        <w:gridCol w:w="7222"/>
        <w:gridCol w:w="1341"/>
        <w:gridCol w:w="1417"/>
        <w:gridCol w:w="1418"/>
        <w:gridCol w:w="1417"/>
        <w:gridCol w:w="991"/>
        <w:gridCol w:w="1070"/>
      </w:tblGrid>
      <w:tr w:rsidR="002F4ED0" w:rsidRPr="009D24EF">
        <w:trPr>
          <w:cantSplit/>
        </w:trPr>
        <w:tc>
          <w:tcPr>
            <w:tcW w:w="476" w:type="dxa"/>
            <w:vMerge w:val="restart"/>
            <w:vAlign w:val="center"/>
          </w:tcPr>
          <w:p w:rsidR="002F4ED0" w:rsidRPr="009D24EF" w:rsidRDefault="002F4ED0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2" w:type="dxa"/>
            <w:vMerge w:val="restart"/>
            <w:vAlign w:val="center"/>
          </w:tcPr>
          <w:p w:rsidR="002F4ED0" w:rsidRPr="009D24EF" w:rsidRDefault="002F4ED0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341" w:type="dxa"/>
            <w:vMerge w:val="restart"/>
            <w:vAlign w:val="center"/>
          </w:tcPr>
          <w:p w:rsidR="002F4ED0" w:rsidRPr="009D24EF" w:rsidRDefault="002F4ED0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13" w:type="dxa"/>
            <w:gridSpan w:val="5"/>
            <w:vAlign w:val="center"/>
          </w:tcPr>
          <w:p w:rsidR="002F4ED0" w:rsidRPr="009D24EF" w:rsidRDefault="002F4ED0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Целевые значения показателей (индикаторов)</w:t>
            </w:r>
          </w:p>
        </w:tc>
      </w:tr>
      <w:tr w:rsidR="002F4ED0" w:rsidRPr="009D24EF">
        <w:trPr>
          <w:cantSplit/>
        </w:trPr>
        <w:tc>
          <w:tcPr>
            <w:tcW w:w="476" w:type="dxa"/>
            <w:vMerge/>
            <w:vAlign w:val="center"/>
          </w:tcPr>
          <w:p w:rsidR="002F4ED0" w:rsidRPr="009D24EF" w:rsidRDefault="002F4ED0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2" w:type="dxa"/>
            <w:vMerge/>
            <w:vAlign w:val="center"/>
          </w:tcPr>
          <w:p w:rsidR="002F4ED0" w:rsidRPr="009D24EF" w:rsidRDefault="002F4ED0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  <w:vAlign w:val="center"/>
          </w:tcPr>
          <w:p w:rsidR="002F4ED0" w:rsidRPr="009D24EF" w:rsidRDefault="002F4ED0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F4ED0" w:rsidRPr="009D24EF" w:rsidRDefault="002F4ED0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2F4ED0" w:rsidRPr="009D24EF" w:rsidRDefault="002F4ED0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2F4ED0" w:rsidRPr="009D24EF" w:rsidRDefault="002F4ED0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418" w:type="dxa"/>
            <w:vAlign w:val="center"/>
          </w:tcPr>
          <w:p w:rsidR="002F4ED0" w:rsidRPr="009D24EF" w:rsidRDefault="002F4ED0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2F4ED0" w:rsidRPr="009D24EF" w:rsidRDefault="002F4ED0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2F4ED0" w:rsidRPr="009D24EF" w:rsidRDefault="002F4ED0" w:rsidP="00394B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(оценка)</w:t>
            </w:r>
          </w:p>
        </w:tc>
        <w:tc>
          <w:tcPr>
            <w:tcW w:w="1417" w:type="dxa"/>
            <w:vAlign w:val="center"/>
          </w:tcPr>
          <w:p w:rsidR="002F4ED0" w:rsidRPr="009D24EF" w:rsidRDefault="002F4ED0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1" w:type="dxa"/>
            <w:vAlign w:val="center"/>
          </w:tcPr>
          <w:p w:rsidR="002F4ED0" w:rsidRPr="009D24EF" w:rsidRDefault="002F4ED0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F4ED0" w:rsidRPr="009D24EF" w:rsidRDefault="002F4ED0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0" w:type="dxa"/>
            <w:vAlign w:val="center"/>
          </w:tcPr>
          <w:p w:rsidR="002F4ED0" w:rsidRPr="009D24EF" w:rsidRDefault="002F4ED0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2F4ED0" w:rsidRPr="009D24EF" w:rsidRDefault="002F4ED0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2F4ED0" w:rsidRPr="009D24EF">
        <w:trPr>
          <w:cantSplit/>
        </w:trPr>
        <w:tc>
          <w:tcPr>
            <w:tcW w:w="15352" w:type="dxa"/>
            <w:gridSpan w:val="8"/>
            <w:vAlign w:val="center"/>
          </w:tcPr>
          <w:p w:rsidR="002F4ED0" w:rsidRPr="009D24EF" w:rsidRDefault="002F4ED0" w:rsidP="004D3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«Межбюджетные отношения с муниципальными образованиями» </w:t>
            </w:r>
          </w:p>
        </w:tc>
      </w:tr>
      <w:tr w:rsidR="002F4ED0" w:rsidRPr="009D24EF">
        <w:trPr>
          <w:cantSplit/>
        </w:trPr>
        <w:tc>
          <w:tcPr>
            <w:tcW w:w="476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  <w:vAlign w:val="center"/>
          </w:tcPr>
          <w:p w:rsidR="002F4ED0" w:rsidRPr="009D24EF" w:rsidRDefault="002F4ED0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Сокращение величины разрыва среднего уровня расчетной бюджетной обеспеченности муниципальных образований</w:t>
            </w:r>
          </w:p>
        </w:tc>
        <w:tc>
          <w:tcPr>
            <w:tcW w:w="1341" w:type="dxa"/>
            <w:vAlign w:val="center"/>
          </w:tcPr>
          <w:p w:rsidR="002F4ED0" w:rsidRPr="009D24EF" w:rsidRDefault="002F4ED0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417" w:type="dxa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  <w:tc>
          <w:tcPr>
            <w:tcW w:w="1417" w:type="dxa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  <w:tc>
          <w:tcPr>
            <w:tcW w:w="991" w:type="dxa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  <w:tc>
          <w:tcPr>
            <w:tcW w:w="1070" w:type="dxa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</w:tr>
      <w:tr w:rsidR="002F4ED0" w:rsidRPr="009D24EF">
        <w:trPr>
          <w:cantSplit/>
        </w:trPr>
        <w:tc>
          <w:tcPr>
            <w:tcW w:w="476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  <w:vAlign w:val="center"/>
          </w:tcPr>
          <w:p w:rsidR="002F4ED0" w:rsidRPr="009D24EF" w:rsidRDefault="002F4ED0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Сокращение дифференциации муниципальных образований по уровню среднедушевого дохода с учетом выравнивания бюджетной  обеспеченности</w:t>
            </w:r>
          </w:p>
        </w:tc>
        <w:tc>
          <w:tcPr>
            <w:tcW w:w="1341" w:type="dxa"/>
            <w:vAlign w:val="center"/>
          </w:tcPr>
          <w:p w:rsidR="002F4ED0" w:rsidRPr="009D24EF" w:rsidRDefault="002F4ED0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417" w:type="dxa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18" w:type="dxa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417" w:type="dxa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991" w:type="dxa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070" w:type="dxa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</w:tr>
      <w:tr w:rsidR="002F4ED0" w:rsidRPr="009D24EF">
        <w:trPr>
          <w:cantSplit/>
        </w:trPr>
        <w:tc>
          <w:tcPr>
            <w:tcW w:w="15352" w:type="dxa"/>
            <w:gridSpan w:val="8"/>
            <w:vAlign w:val="center"/>
          </w:tcPr>
          <w:p w:rsidR="002F4ED0" w:rsidRPr="009D24EF" w:rsidRDefault="002F4ED0" w:rsidP="00ED38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Прочие показатели(индикаторы)</w:t>
            </w:r>
          </w:p>
        </w:tc>
      </w:tr>
      <w:tr w:rsidR="002F4ED0" w:rsidRPr="009D24EF">
        <w:trPr>
          <w:cantSplit/>
        </w:trPr>
        <w:tc>
          <w:tcPr>
            <w:tcW w:w="476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2" w:type="dxa"/>
            <w:vAlign w:val="center"/>
          </w:tcPr>
          <w:p w:rsidR="002F4ED0" w:rsidRPr="009D24EF" w:rsidRDefault="002F4ED0" w:rsidP="00AB0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Отношение объёма муниципального внутреннего долга  муниципального образования «Унечский муниципальный район» к общему годовому объему доходов бюджета муниципального образования  «Унечский муниципальный  район» (без учёта утвержденного объёма безвозмездных поступлений)</w:t>
            </w:r>
          </w:p>
        </w:tc>
        <w:tc>
          <w:tcPr>
            <w:tcW w:w="1341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2F4ED0" w:rsidRPr="009D24EF" w:rsidRDefault="002F4ED0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2F4ED0" w:rsidRPr="009D24EF" w:rsidRDefault="002F4ED0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417" w:type="dxa"/>
            <w:vAlign w:val="center"/>
          </w:tcPr>
          <w:p w:rsidR="002F4ED0" w:rsidRPr="009D24EF" w:rsidRDefault="002F4ED0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991" w:type="dxa"/>
            <w:vAlign w:val="center"/>
          </w:tcPr>
          <w:p w:rsidR="002F4ED0" w:rsidRPr="009D24EF" w:rsidRDefault="002F4ED0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070" w:type="dxa"/>
            <w:vAlign w:val="center"/>
          </w:tcPr>
          <w:p w:rsidR="002F4ED0" w:rsidRPr="009D24EF" w:rsidRDefault="002F4ED0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</w:tr>
      <w:tr w:rsidR="002F4ED0" w:rsidRPr="009D24EF">
        <w:trPr>
          <w:cantSplit/>
        </w:trPr>
        <w:tc>
          <w:tcPr>
            <w:tcW w:w="476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2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Превышение ставки по привлеченным кредитам коммерческих банков над ставкой рефинансирования Банка России</w:t>
            </w:r>
          </w:p>
        </w:tc>
        <w:tc>
          <w:tcPr>
            <w:tcW w:w="1341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0"/>
                <w:szCs w:val="20"/>
              </w:rPr>
              <w:t>Кредиты не привлекались</w:t>
            </w:r>
          </w:p>
        </w:tc>
        <w:tc>
          <w:tcPr>
            <w:tcW w:w="1418" w:type="dxa"/>
            <w:vAlign w:val="center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4EF">
              <w:rPr>
                <w:rFonts w:ascii="Times New Roman" w:hAnsi="Times New Roman" w:cs="Times New Roman"/>
                <w:sz w:val="20"/>
                <w:szCs w:val="20"/>
              </w:rPr>
              <w:t>Кредиты не привлекались</w:t>
            </w:r>
          </w:p>
        </w:tc>
        <w:tc>
          <w:tcPr>
            <w:tcW w:w="1417" w:type="dxa"/>
            <w:vAlign w:val="center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  <w:tc>
          <w:tcPr>
            <w:tcW w:w="991" w:type="dxa"/>
            <w:vAlign w:val="center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  <w:tc>
          <w:tcPr>
            <w:tcW w:w="1070" w:type="dxa"/>
            <w:vAlign w:val="center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</w:tr>
      <w:tr w:rsidR="002F4ED0" w:rsidRPr="009D24EF">
        <w:trPr>
          <w:cantSplit/>
        </w:trPr>
        <w:tc>
          <w:tcPr>
            <w:tcW w:w="476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2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по состоянию на конец отчётного периода в общем объеме расходов бюджета района</w:t>
            </w:r>
          </w:p>
        </w:tc>
        <w:tc>
          <w:tcPr>
            <w:tcW w:w="1341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2F4ED0" w:rsidRPr="009D24EF" w:rsidRDefault="002F4ED0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2F4ED0" w:rsidRPr="009D24EF" w:rsidRDefault="002F4ED0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1" w:type="dxa"/>
            <w:vAlign w:val="center"/>
          </w:tcPr>
          <w:p w:rsidR="002F4ED0" w:rsidRPr="009D24EF" w:rsidRDefault="002F4ED0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0" w:type="dxa"/>
            <w:vAlign w:val="center"/>
          </w:tcPr>
          <w:p w:rsidR="002F4ED0" w:rsidRPr="009D24EF" w:rsidRDefault="002F4ED0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F4ED0" w:rsidRPr="009D24EF">
        <w:trPr>
          <w:cantSplit/>
        </w:trPr>
        <w:tc>
          <w:tcPr>
            <w:tcW w:w="476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2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объема налоговых и неналоговых доходов бюджета района от первоначального плана</w:t>
            </w:r>
          </w:p>
        </w:tc>
        <w:tc>
          <w:tcPr>
            <w:tcW w:w="1341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  <w:tc>
          <w:tcPr>
            <w:tcW w:w="1417" w:type="dxa"/>
            <w:vAlign w:val="center"/>
          </w:tcPr>
          <w:p w:rsidR="002F4ED0" w:rsidRPr="009D24EF" w:rsidRDefault="002F4ED0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  <w:tc>
          <w:tcPr>
            <w:tcW w:w="991" w:type="dxa"/>
            <w:vAlign w:val="center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  <w:tc>
          <w:tcPr>
            <w:tcW w:w="1070" w:type="dxa"/>
            <w:vAlign w:val="center"/>
          </w:tcPr>
          <w:p w:rsidR="002F4ED0" w:rsidRPr="009D24EF" w:rsidRDefault="002F4ED0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</w:tr>
    </w:tbl>
    <w:p w:rsidR="002F4ED0" w:rsidRPr="009D24EF" w:rsidRDefault="002F4ED0" w:rsidP="00CD776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2F4ED0" w:rsidRPr="009D24EF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Порядок расчета показателей (индикаторов) муниципальной программы.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Сокращение величины разрыва среднего уровня расчетной бюджетной обеспеченности муни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softHyphen/>
        <w:t>ципальных образований определяется следующим образом:</w:t>
      </w:r>
    </w:p>
    <w:p w:rsidR="002F4ED0" w:rsidRPr="009D24EF" w:rsidRDefault="002F4ED0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6760E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F6760E">
        <w:rPr>
          <w:rFonts w:ascii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Pr="00F6760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5.25pt">
            <v:imagedata r:id="rId7" o:title="" chromakey="white"/>
          </v:shape>
        </w:pict>
      </w:r>
      <w:r w:rsidRPr="00F6760E">
        <w:rPr>
          <w:rFonts w:ascii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F6760E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F6760E">
        <w:pict>
          <v:shape id="_x0000_i1026" type="#_x0000_t75" style="width:78pt;height:35.25pt">
            <v:imagedata r:id="rId7" o:title="" chromakey="white"/>
          </v:shape>
        </w:pict>
      </w:r>
      <w:r w:rsidRPr="00F6760E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SRBO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оценка сокращения величины разрыва среднего уровня расчетной бюджетной обеспечен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softHyphen/>
        <w:t>ности муниципальных образований;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Ubf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наиболее обеспеченных муниципальных образований после выравнивания бюджетной обеспеченности муниципальных образований;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Uaf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наименее обеспеченных муниципальных образований после выравнивания бюджетной обеспеченности муниципальных образований.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Сокращение дифференциации муниципальных образований по уровню среднедушевого дохода с учетом выравнивания бюджетной обеспеченности определяется следующим образом:</w:t>
      </w:r>
    </w:p>
    <w:p w:rsidR="002F4ED0" w:rsidRPr="009D24EF" w:rsidRDefault="002F4ED0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799" w:dyaOrig="660">
          <v:shape id="_x0000_i1027" type="#_x0000_t75" style="width:172.5pt;height:39.75pt" o:ole="">
            <v:imagedata r:id="rId8" o:title=""/>
          </v:shape>
          <o:OLEObject Type="Embed" ProgID="Msxml2.SAXXMLReader.5.0" ShapeID="_x0000_i1027" DrawAspect="Content" ObjectID="_1674478953" r:id="rId9"/>
        </w:objec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Sr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оценка сокращения разрыва дифференциации муниципальных образований по уровню среднедушевого дохода с учетом выравнивания бюджетной обеспеченности;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max(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1) – наибольший уровень среднедушевого дохода муниципального образования до распределения дотаций на выравнивание бюджетной обеспеченности;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m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in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1) – наименьший уровень среднедушевого дохода муниципального образования до распределения дотаций на выравнивание бюджетной обеспеченности;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max(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2) – наибольший уровень среднедушевого дохода муниципального образования после распределения дотаций на выравнивание бюджетной обеспеченности;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m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in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2) – наименьший уровень среднедушевого дохода муниципального образования после распределения дотаций на выравнивание бюджетной обеспеченности.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Отношение объёма муниципальноговнутреннего долга Унечского района к общему годовому объему доходов бюджета Унечского районабез учета утвержденного объема безвозмездных поступлений определяется следующим образом:</w:t>
      </w:r>
    </w:p>
    <w:p w:rsidR="002F4ED0" w:rsidRPr="009D24EF" w:rsidRDefault="002F4ED0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position w:val="-30"/>
          <w:sz w:val="28"/>
          <w:szCs w:val="28"/>
        </w:rPr>
        <w:pict>
          <v:shape id="_x0000_i1028" type="#_x0000_t75" style="width:92.25pt;height:54pt">
            <v:imagedata r:id="rId10" o:title=""/>
          </v:shape>
        </w:pic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 , где: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A – отношение объема муниципального внутреннего долга Унечского района, к утверждённому общему годовому объёму доходов без учёта утверждённого объёма безвозмездных поступлений, %;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Dd – объем муниципального внутреннего долга по состоянию на отчётную дату, рублей;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Vr – общий годовой объём доходов бюджета района в соответствующем финансовом году, рублей;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Vb – утверждённый на соответствующий финансовый год объём безвозмездных поступлений, рублей.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Информация об объеме муниципального внутреннего долга Унечского района ежеквартально публикуется  в составе информации о структуре муниципального долга муниципального образования «Унечский муниципальный район» на официальном сайте администрации Унечского района (</w:t>
      </w:r>
      <w:hyperlink r:id="rId11" w:history="1">
        <w:r w:rsidRPr="009D24EF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www</w:t>
        </w:r>
        <w:r w:rsidRPr="009D24EF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Pr="009D24EF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unradm</w:t>
        </w:r>
        <w:r w:rsidRPr="009D24EF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Pr="009D24EF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ru</w:t>
        </w:r>
      </w:hyperlink>
      <w:r w:rsidRPr="009D24EF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Информация об общем годовом объеме доходов бюджета и утвержденном объеме безвозмездных поступлений Унечского района публикуется на официальном сайте администрации Унечского района в составе отчета об исполнении бюджета муниципального образования «Унечский муниципальный район» за отчетный период.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Превышение ставки по привлеченным кредитам коммерческих банков над ставкой рефинансирования Банка России определяется следующим образом:</w:t>
      </w:r>
    </w:p>
    <w:p w:rsidR="002F4ED0" w:rsidRPr="009D24EF" w:rsidRDefault="002F4ED0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29" type="#_x0000_t75" style="width:114pt;height:66pt">
            <v:imagedata r:id="rId12" o:title=""/>
          </v:shape>
        </w:pic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B</w:t>
      </w:r>
      <w:r w:rsidRPr="009D24E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p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превышение ставки по привлеченным кредитам коммерческих банков над ставкой рефинансирования Банка России, %;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9D24E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ставка по привлеченному 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-му кредиту коммерческого банка, %;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9D24E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ir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ставка рефинансирования Банка России, действовавшая на момент привлечения 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-го кредита коммерческого банка, %;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количество привлечённых за отчетный период кредитов коммерческих банков, единиц.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Информация о привлеченных районом кредитных ресурсах ежеквартально публикуется на официальном сайте администрации Унечского района (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) в составе информации о структуре муниципального долга муниципального образования «Унечский муниципальный район».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Информация о действовавшей ставке рефинансирования публикуется на официальном сайте Банка России (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cbr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Доля просроченной кредиторской задолженности по состоянию на конец отчетного периода в общем объеме расходов бюджета района определяется следующим образом:</w:t>
      </w:r>
    </w:p>
    <w:p w:rsidR="002F4ED0" w:rsidRPr="009D24EF" w:rsidRDefault="002F4ED0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30" type="#_x0000_t75" style="width:105pt;height:45.75pt">
            <v:imagedata r:id="rId13" o:title=""/>
          </v:shape>
        </w:pic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R</w:t>
      </w:r>
      <w:r w:rsidRPr="009D24E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k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доля просроченной кредиторской задолженности по состоянию на конец отчетного периода в общем объеме расходов бюджета района, %;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S</w:t>
      </w:r>
      <w:r w:rsidRPr="009D24E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e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объем просроченной кредиторской задолженности по состоянию на конец отчетного периода, тыс. рублей;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9D24E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e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исполнение бюджета района по расходам за отчетный период, тыс. рублей.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Информация об объеме просроченной кредиторской задолженности бюджета района, исполнении бюджета района по расходам за отчетный период содержится в составе ежеквартальных отчетов об исполнении бюджета района, публикуемых на официальном сайте администрации Унечского района (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Отклонение фактического объема налоговых и неналоговых доходов бюджета района за отчетный период от первоначального плана определяется следующим образом:</w:t>
      </w:r>
    </w:p>
    <w:p w:rsidR="002F4ED0" w:rsidRPr="009D24EF" w:rsidRDefault="002F4ED0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31" type="#_x0000_t75" style="width:135.75pt;height:45pt">
            <v:imagedata r:id="rId14" o:title=""/>
          </v:shape>
        </w:pic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Pr="009D24EF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d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отклонение фактического объема налоговых и неналоговых доходов бюджета района за отчетный период от первоначального плана, %;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If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исполнение бюджета района по налоговым и неналоговым доходам за отчетный период;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Ip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– первоначально запланированный на отчетный период объем налоговых и неналоговых доходов.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Фактическое поступление налоговых и неналоговых доходов содержится в составе отчета об исполнении бюджета района.</w:t>
      </w:r>
    </w:p>
    <w:p w:rsidR="002F4ED0" w:rsidRPr="009D24EF" w:rsidRDefault="002F4ED0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Первоначально запланированный объем поступлений налоговых и неналоговых доходов в бюджет района содержится в первоначальной редакции решения Унечского районного Совета народных депутатов «О бюджете муниципального образования «Унечский муниципальный район» на очередной финансовый год и плановый период, опубликованной на официальном сайте администрации Унечского района (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D24EF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2F4ED0" w:rsidRPr="009D24EF" w:rsidRDefault="002F4ED0" w:rsidP="004F5D87">
      <w:pPr>
        <w:spacing w:after="0" w:line="240" w:lineRule="auto"/>
        <w:ind w:left="7655"/>
        <w:rPr>
          <w:rFonts w:ascii="Times New Roman" w:hAnsi="Times New Roman" w:cs="Times New Roman"/>
          <w:sz w:val="28"/>
          <w:szCs w:val="28"/>
          <w:lang w:eastAsia="ru-RU"/>
        </w:rPr>
        <w:sectPr w:rsidR="002F4ED0" w:rsidRPr="009D24EF" w:rsidSect="009010F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F4ED0" w:rsidRPr="009D24EF" w:rsidRDefault="002F4ED0" w:rsidP="00BB0262">
      <w:pPr>
        <w:spacing w:after="0" w:line="240" w:lineRule="auto"/>
        <w:ind w:left="9912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Приложение 2</w:t>
      </w:r>
    </w:p>
    <w:p w:rsidR="002F4ED0" w:rsidRPr="009D24EF" w:rsidRDefault="002F4ED0" w:rsidP="00BB0262">
      <w:pPr>
        <w:spacing w:after="0" w:line="240" w:lineRule="auto"/>
        <w:ind w:left="991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к муниципальной программе "Управление</w:t>
      </w:r>
    </w:p>
    <w:p w:rsidR="002F4ED0" w:rsidRPr="009D24EF" w:rsidRDefault="002F4ED0" w:rsidP="00BB0262">
      <w:pPr>
        <w:spacing w:after="0" w:line="240" w:lineRule="auto"/>
        <w:ind w:left="991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муниципальными финансами Унечского </w:t>
      </w:r>
    </w:p>
    <w:p w:rsidR="002F4ED0" w:rsidRPr="009D24EF" w:rsidRDefault="002F4ED0" w:rsidP="00BB0262">
      <w:pPr>
        <w:spacing w:after="0" w:line="240" w:lineRule="auto"/>
        <w:ind w:left="991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района» </w:t>
      </w:r>
    </w:p>
    <w:p w:rsidR="002F4ED0" w:rsidRPr="009D24EF" w:rsidRDefault="002F4ED0" w:rsidP="00C23272">
      <w:pPr>
        <w:spacing w:after="0" w:line="240" w:lineRule="auto"/>
        <w:ind w:left="737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4ED0" w:rsidRPr="009D24EF" w:rsidRDefault="002F4ED0" w:rsidP="00C23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2F4ED0" w:rsidRPr="009D24EF" w:rsidRDefault="002F4ED0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00"/>
      </w:tblPr>
      <w:tblGrid>
        <w:gridCol w:w="4007"/>
        <w:gridCol w:w="2306"/>
        <w:gridCol w:w="2129"/>
        <w:gridCol w:w="1228"/>
        <w:gridCol w:w="1228"/>
        <w:gridCol w:w="1279"/>
        <w:gridCol w:w="3176"/>
      </w:tblGrid>
      <w:tr w:rsidR="002F4ED0" w:rsidRPr="009D24EF">
        <w:trPr>
          <w:cantSplit/>
          <w:trHeight w:val="10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DE5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МП, подпрограммы МП, мероприятий МП, подпрограммы, МП, основного мероприятия, мероприятий, реализуемых в рамках основного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0A3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0A3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F4ED0" w:rsidRPr="009D24EF" w:rsidRDefault="002F4ED0" w:rsidP="000A3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 муниципальной программы (руб.)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4ED0" w:rsidRPr="009D24EF" w:rsidRDefault="002F4ED0" w:rsidP="00681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Ожидаемый</w:t>
            </w:r>
          </w:p>
          <w:p w:rsidR="002F4ED0" w:rsidRPr="009D24EF" w:rsidRDefault="002F4ED0" w:rsidP="00681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непосредственный </w:t>
            </w:r>
          </w:p>
          <w:p w:rsidR="002F4ED0" w:rsidRPr="009D24EF" w:rsidRDefault="002F4ED0" w:rsidP="006814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 (краткое описание, целевые индикаторы и показатели)</w:t>
            </w:r>
          </w:p>
        </w:tc>
      </w:tr>
      <w:tr w:rsidR="002F4ED0" w:rsidRPr="009D24EF">
        <w:trPr>
          <w:cantSplit/>
          <w:trHeight w:val="3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4D3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4D3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4D3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4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1C3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1.Подпрограмма "Межбюджетные отношения с муниципальными образованиями "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4D3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F37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F37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F4ED0" w:rsidRPr="009D24EF" w:rsidRDefault="002F4ED0" w:rsidP="00681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поселений;</w:t>
            </w:r>
          </w:p>
          <w:p w:rsidR="002F4ED0" w:rsidRPr="009D24EF" w:rsidRDefault="002F4ED0" w:rsidP="006814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уровня бюджетной обеспеченности поселений</w:t>
            </w:r>
          </w:p>
        </w:tc>
      </w:tr>
      <w:tr w:rsidR="002F4ED0" w:rsidRPr="009D24EF">
        <w:trPr>
          <w:cantSplit/>
          <w:trHeight w:val="40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8B1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41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0A3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0A3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0A3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42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4D33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7117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8E75B6">
            <w:pPr>
              <w:tabs>
                <w:tab w:val="center" w:pos="5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1577000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ED0" w:rsidRPr="009D24EF" w:rsidRDefault="002F4ED0" w:rsidP="000A3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39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D0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F37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F37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F37B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F4ED0" w:rsidRPr="009D24EF">
        <w:trPr>
          <w:cantSplit/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jc w:val="center"/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jc w:val="center"/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4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092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092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0924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jc w:val="center"/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jc w:val="center"/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16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1.2.Поддержка мер по обеспечению сбалансированности бюджетов поселений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9A3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2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9A3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25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9A3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24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9A3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основному мероприятию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9A3C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40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Расходы вне подпрограмм муниципальной программы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BF70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33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602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602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602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4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602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602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602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35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BF70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3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муниципальной программе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Унечского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BF70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7419930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F4ED0" w:rsidRPr="009D24EF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jc w:val="center"/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jc w:val="center"/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1577000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602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602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602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ED0" w:rsidRPr="009D24EF">
        <w:trPr>
          <w:cantSplit/>
          <w:trHeight w:val="4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AB2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9596930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6024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8996930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F4ED0" w:rsidRPr="009D24EF" w:rsidRDefault="002F4ED0" w:rsidP="008E7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8996930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ED0" w:rsidRPr="009D24EF" w:rsidRDefault="002F4ED0" w:rsidP="00602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4ED0" w:rsidRPr="00025A68" w:rsidRDefault="002F4ED0" w:rsidP="00706F5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2F4ED0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2F4ED0" w:rsidRPr="00025A68" w:rsidRDefault="002F4ED0" w:rsidP="00706F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F4ED0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ED0" w:rsidRDefault="002F4ED0" w:rsidP="001D0B56">
      <w:pPr>
        <w:spacing w:after="0" w:line="240" w:lineRule="auto"/>
      </w:pPr>
      <w:r>
        <w:separator/>
      </w:r>
    </w:p>
  </w:endnote>
  <w:endnote w:type="continuationSeparator" w:id="1">
    <w:p w:rsidR="002F4ED0" w:rsidRDefault="002F4ED0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ED0" w:rsidRDefault="002F4ED0" w:rsidP="001D0B56">
      <w:pPr>
        <w:spacing w:after="0" w:line="240" w:lineRule="auto"/>
      </w:pPr>
      <w:r>
        <w:separator/>
      </w:r>
    </w:p>
  </w:footnote>
  <w:footnote w:type="continuationSeparator" w:id="1">
    <w:p w:rsidR="002F4ED0" w:rsidRDefault="002F4ED0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B38"/>
    <w:rsid w:val="00003363"/>
    <w:rsid w:val="00004284"/>
    <w:rsid w:val="000157C0"/>
    <w:rsid w:val="00025A68"/>
    <w:rsid w:val="00025D9D"/>
    <w:rsid w:val="0002707C"/>
    <w:rsid w:val="00064B51"/>
    <w:rsid w:val="000924F5"/>
    <w:rsid w:val="000A373E"/>
    <w:rsid w:val="000C19FC"/>
    <w:rsid w:val="000E61C1"/>
    <w:rsid w:val="000F5962"/>
    <w:rsid w:val="001018A5"/>
    <w:rsid w:val="001106E1"/>
    <w:rsid w:val="00117B67"/>
    <w:rsid w:val="00121A1F"/>
    <w:rsid w:val="0013614E"/>
    <w:rsid w:val="00137654"/>
    <w:rsid w:val="0014368D"/>
    <w:rsid w:val="0018164D"/>
    <w:rsid w:val="00186DE5"/>
    <w:rsid w:val="0019317D"/>
    <w:rsid w:val="001A5417"/>
    <w:rsid w:val="001B373E"/>
    <w:rsid w:val="001C3EFE"/>
    <w:rsid w:val="001D0B56"/>
    <w:rsid w:val="001D3BAA"/>
    <w:rsid w:val="001D7455"/>
    <w:rsid w:val="00214954"/>
    <w:rsid w:val="00224636"/>
    <w:rsid w:val="00226F9D"/>
    <w:rsid w:val="00264406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4E46"/>
    <w:rsid w:val="002D27F7"/>
    <w:rsid w:val="002F4ED0"/>
    <w:rsid w:val="00303B63"/>
    <w:rsid w:val="00313B07"/>
    <w:rsid w:val="00316826"/>
    <w:rsid w:val="00322389"/>
    <w:rsid w:val="003277A0"/>
    <w:rsid w:val="003447D2"/>
    <w:rsid w:val="003668B7"/>
    <w:rsid w:val="00394BE2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AA1"/>
    <w:rsid w:val="00544982"/>
    <w:rsid w:val="00551C84"/>
    <w:rsid w:val="00580F1B"/>
    <w:rsid w:val="0058630E"/>
    <w:rsid w:val="00586701"/>
    <w:rsid w:val="005A30B8"/>
    <w:rsid w:val="005D7EAF"/>
    <w:rsid w:val="005E2C1E"/>
    <w:rsid w:val="00602429"/>
    <w:rsid w:val="0061576A"/>
    <w:rsid w:val="00616EB7"/>
    <w:rsid w:val="00626A93"/>
    <w:rsid w:val="00632F2B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F5D"/>
    <w:rsid w:val="007117FC"/>
    <w:rsid w:val="00725FA9"/>
    <w:rsid w:val="0074667C"/>
    <w:rsid w:val="00746F60"/>
    <w:rsid w:val="00761D2B"/>
    <w:rsid w:val="007656B7"/>
    <w:rsid w:val="007662A6"/>
    <w:rsid w:val="0079004C"/>
    <w:rsid w:val="007A14B4"/>
    <w:rsid w:val="007A3369"/>
    <w:rsid w:val="007A59E1"/>
    <w:rsid w:val="007C2E1B"/>
    <w:rsid w:val="007C5AD2"/>
    <w:rsid w:val="007E4CEC"/>
    <w:rsid w:val="007F565E"/>
    <w:rsid w:val="007F5EC4"/>
    <w:rsid w:val="00805ED9"/>
    <w:rsid w:val="00822860"/>
    <w:rsid w:val="008270B7"/>
    <w:rsid w:val="008516FE"/>
    <w:rsid w:val="0085492B"/>
    <w:rsid w:val="00856332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9010FE"/>
    <w:rsid w:val="00910166"/>
    <w:rsid w:val="00922B55"/>
    <w:rsid w:val="009327DC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4020E"/>
    <w:rsid w:val="00A417FC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E0174"/>
    <w:rsid w:val="00B06816"/>
    <w:rsid w:val="00B161DD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46015"/>
    <w:rsid w:val="00C476AD"/>
    <w:rsid w:val="00C50563"/>
    <w:rsid w:val="00C51014"/>
    <w:rsid w:val="00C8606C"/>
    <w:rsid w:val="00C87040"/>
    <w:rsid w:val="00C93765"/>
    <w:rsid w:val="00C94CB4"/>
    <w:rsid w:val="00C97F21"/>
    <w:rsid w:val="00CA1A46"/>
    <w:rsid w:val="00CA267A"/>
    <w:rsid w:val="00CA6F3E"/>
    <w:rsid w:val="00CB4F0E"/>
    <w:rsid w:val="00CB5092"/>
    <w:rsid w:val="00CD7767"/>
    <w:rsid w:val="00CE0845"/>
    <w:rsid w:val="00CE6452"/>
    <w:rsid w:val="00D023DD"/>
    <w:rsid w:val="00D039E7"/>
    <w:rsid w:val="00D1326A"/>
    <w:rsid w:val="00D320D5"/>
    <w:rsid w:val="00D45A8D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37BEC"/>
    <w:rsid w:val="00F37E66"/>
    <w:rsid w:val="00F50E59"/>
    <w:rsid w:val="00F56C68"/>
    <w:rsid w:val="00F6194B"/>
    <w:rsid w:val="00F61B01"/>
    <w:rsid w:val="00F64F3A"/>
    <w:rsid w:val="00F6760E"/>
    <w:rsid w:val="00F67D5C"/>
    <w:rsid w:val="00F816B1"/>
    <w:rsid w:val="00F84ABD"/>
    <w:rsid w:val="00F864CE"/>
    <w:rsid w:val="00F943E7"/>
    <w:rsid w:val="00FD742B"/>
    <w:rsid w:val="00FF5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6E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8714DB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D0B56"/>
    <w:rPr>
      <w:lang w:eastAsia="en-US"/>
    </w:rPr>
  </w:style>
  <w:style w:type="paragraph" w:styleId="Footer">
    <w:name w:val="footer"/>
    <w:basedOn w:val="Normal"/>
    <w:link w:val="Foot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0B5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94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CD77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nrad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14</Pages>
  <Words>4524</Words>
  <Characters>25793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Лосева Е.Ю.</cp:lastModifiedBy>
  <cp:revision>7</cp:revision>
  <cp:lastPrinted>2021-01-19T06:16:00Z</cp:lastPrinted>
  <dcterms:created xsi:type="dcterms:W3CDTF">2021-01-12T07:47:00Z</dcterms:created>
  <dcterms:modified xsi:type="dcterms:W3CDTF">2021-02-10T13:16:00Z</dcterms:modified>
</cp:coreProperties>
</file>